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CONVERTIBLE PROMISSORY NOTE AGREEMENT</w:t>
      </w:r>
    </w:p>
    <w:p/>
    <w:p/>
    <w:p>
      <w:r>
        <w:rPr>
          <w:b/>
          <w:sz w:val="20"/>
        </w:rPr>
        <w:t>THIS CONVERTIBLE PROMISSORY NOTE AGREEMENT (this “Agreement”) is made and entered into by and between:</w:t>
      </w:r>
    </w:p>
    <w:p>
      <w:r>
        <w:rPr>
          <w:b w:val="0"/>
          <w:sz w:val="20"/>
        </w:rPr>
        <w:t>Issuer: ____________________________________________________________</w:t>
      </w:r>
    </w:p>
    <w:p>
      <w:r>
        <w:rPr>
          <w:b w:val="0"/>
          <w:sz w:val="20"/>
        </w:rPr>
        <w:t>Address: ___________________________________________________________</w:t>
      </w:r>
    </w:p>
    <w:p/>
    <w:p>
      <w:r>
        <w:rPr>
          <w:b w:val="0"/>
          <w:sz w:val="20"/>
        </w:rPr>
        <w:t>Investor: __________________________________________________________</w:t>
      </w:r>
    </w:p>
    <w:p>
      <w:r>
        <w:rPr>
          <w:b w:val="0"/>
          <w:sz w:val="20"/>
        </w:rPr>
        <w:t>Address: ___________________________________________________________</w:t>
      </w:r>
    </w:p>
    <w:p/>
    <w:p/>
    <w:p>
      <w:r>
        <w:rPr>
          <w:b/>
          <w:sz w:val="22"/>
        </w:rPr>
        <w:t>RECITALS</w:t>
      </w:r>
    </w:p>
    <w:p>
      <w:r>
        <w:rPr>
          <w:b w:val="0"/>
          <w:sz w:val="20"/>
        </w:rPr>
        <w:t>WHEREAS, the Issuer is a corporation duly organized and existing under the laws of the State of ___________________;</w:t>
      </w:r>
    </w:p>
    <w:p>
      <w:r>
        <w:rPr>
          <w:b w:val="0"/>
          <w:sz w:val="20"/>
        </w:rPr>
        <w:t>WHEREAS, the Investor desires to loan certain funds to the Issuer and the Issuer desires to borrow such funds under the terms and conditions set forth herein;</w:t>
      </w:r>
    </w:p>
    <w:p>
      <w:r>
        <w:rPr>
          <w:b w:val="0"/>
          <w:sz w:val="20"/>
        </w:rPr>
        <w:t>WHEREAS, the parties intend that this loan be convertible into equity of the Issuer upon the occurrence of certain events as set forth herein.</w:t>
      </w:r>
    </w:p>
    <w:p/>
    <w:p/>
    <w:p>
      <w:r>
        <w:rPr>
          <w:b/>
          <w:sz w:val="22"/>
        </w:rPr>
        <w:t>1. Principal and Interest</w:t>
      </w:r>
    </w:p>
    <w:p>
      <w:r>
        <w:rPr>
          <w:b w:val="0"/>
          <w:sz w:val="20"/>
        </w:rPr>
        <w:t>1.1 Principal Amount. Subject to the terms and conditions of this Agreement, the Investor hereby loans to the Issuer the principal sum of $______________ (the “Principal Amount”).</w:t>
      </w:r>
    </w:p>
    <w:p>
      <w:r>
        <w:rPr>
          <w:b w:val="0"/>
          <w:sz w:val="20"/>
        </w:rPr>
        <w:t>1.2 Interest Rate. The outstanding Principal Amount shall bear interest at the rate of _______ percent (__%) per annum, compounded annually and payable upon conversion or repayment.</w:t>
      </w:r>
    </w:p>
    <w:p>
      <w:r>
        <w:rPr>
          <w:b w:val="0"/>
          <w:sz w:val="20"/>
        </w:rPr>
        <w:t>1.3 Payment of Interest. Interest shall accrue on the outstanding Principal Amount from the date of issuance of this Note until repayment in full or conversion in accordance with Section 3.</w:t>
      </w:r>
    </w:p>
    <w:p/>
    <w:p>
      <w:r>
        <w:rPr>
          <w:b/>
          <w:sz w:val="22"/>
        </w:rPr>
        <w:t>2. Maturity Date</w:t>
      </w:r>
    </w:p>
    <w:p>
      <w:r>
        <w:rPr>
          <w:b w:val="0"/>
          <w:sz w:val="20"/>
        </w:rPr>
        <w:t>The entire outstanding Principal Amount and all accrued but unpaid interest hereunder shall be due and payable on __________________ (the “Maturity Date”), unless earlier converted pursuant to Section 3.</w:t>
      </w:r>
    </w:p>
    <w:p/>
    <w:p>
      <w:r>
        <w:rPr>
          <w:b/>
          <w:sz w:val="22"/>
        </w:rPr>
        <w:t>3. Conversion</w:t>
      </w:r>
    </w:p>
    <w:p>
      <w:r>
        <w:rPr>
          <w:b w:val="0"/>
          <w:sz w:val="20"/>
        </w:rPr>
        <w:t>3.1 Conversion Events. The outstanding Principal Amount and accrued interest shall automatically convert into shares of the Issuer’s capital stock upon the closing of the next equity financing of the Issuer (the “Qualified Financing”) in which the Issuer raises at least $______________ in gross proceeds.</w:t>
      </w:r>
    </w:p>
    <w:p>
      <w:r>
        <w:rPr>
          <w:b w:val="0"/>
          <w:sz w:val="20"/>
        </w:rPr>
        <w:t>3.2 Conversion Price. The conversion price per share shall be the lesser of (a) [___%] discount to the price per share paid by investors in the Qualified Financing, or (b) a valuation cap of $______________, divided by the fully diluted capitalization of the Issuer immediately prior to such Qualified Financing, as determined in good faith by the Issuer’s board of directors.</w:t>
      </w:r>
    </w:p>
    <w:p>
      <w:r>
        <w:rPr>
          <w:b w:val="0"/>
          <w:sz w:val="20"/>
        </w:rPr>
        <w:t>3.3 Optional Conversion. At or prior to the Maturity Date, the Investor may elect to convert the outstanding Principal Amount and accrued interest into shares of the Issuer’s capital stock at a price mutually agreed upon by the Issuer and the Investor.</w:t>
      </w:r>
    </w:p>
    <w:p>
      <w:r>
        <w:rPr>
          <w:b w:val="0"/>
          <w:sz w:val="20"/>
        </w:rPr>
        <w:t>3.4 Mechanics of Conversion. Upon conversion, the Investor shall deliver the executed conversion notice to the Issuer, and the Issuer shall issue the applicable shares within ten (10) business days.</w:t>
      </w:r>
    </w:p>
    <w:p/>
    <w:p>
      <w:r>
        <w:rPr>
          <w:b/>
          <w:sz w:val="22"/>
        </w:rPr>
        <w:t>4. Repayment</w:t>
      </w:r>
    </w:p>
    <w:p>
      <w:r>
        <w:rPr>
          <w:b w:val="0"/>
          <w:sz w:val="20"/>
        </w:rPr>
        <w:t>If the Principal Amount and accrued interest are not converted in accordance with Section 3, the Issuer shall repay the outstanding amounts on the Maturity Date in lawful money of the United States.</w:t>
      </w:r>
    </w:p>
    <w:p/>
    <w:p>
      <w:r>
        <w:rPr>
          <w:b/>
          <w:sz w:val="22"/>
        </w:rPr>
        <w:t>5. Representations and Warranties of the Issuer</w:t>
      </w:r>
    </w:p>
    <w:p>
      <w:r>
        <w:rPr>
          <w:b w:val="0"/>
          <w:sz w:val="20"/>
        </w:rPr>
        <w:t>The Issuer hereby represents and warrants to the Investor as follows:</w:t>
      </w:r>
    </w:p>
    <w:p>
      <w:r>
        <w:rPr>
          <w:b w:val="0"/>
          <w:sz w:val="20"/>
        </w:rPr>
        <w:t>5.1 Organization and Good Standing. The Issuer is a corporation duly organized, validly existing, and in good standing under the laws of its jurisdiction of incorporation.</w:t>
      </w:r>
    </w:p>
    <w:p>
      <w:r>
        <w:rPr>
          <w:b w:val="0"/>
          <w:sz w:val="20"/>
        </w:rPr>
        <w:t>5.2 Authorization. The Issuer has all requisite corporate power and authority to execute and deliver this Agreement and perform its obligations hereunder.</w:t>
      </w:r>
    </w:p>
    <w:p>
      <w:r>
        <w:rPr>
          <w:b w:val="0"/>
          <w:sz w:val="20"/>
        </w:rPr>
        <w:t>5.3 Validity. This Agreement constitutes the valid and binding obligation of the Issuer, enforceable in accordance with its terms.</w:t>
      </w:r>
    </w:p>
    <w:p>
      <w:r>
        <w:rPr>
          <w:b w:val="0"/>
          <w:sz w:val="20"/>
        </w:rPr>
        <w:t>5.4 No Conflicts. The execution or performance of this Agreement does not conflict with any law, regulation, or agreement binding upon the Issuer.</w:t>
      </w:r>
    </w:p>
    <w:p/>
    <w:p>
      <w:r>
        <w:rPr>
          <w:b/>
          <w:sz w:val="22"/>
        </w:rPr>
        <w:t>6. Representations and Warranties of the Investor</w:t>
      </w:r>
    </w:p>
    <w:p>
      <w:r>
        <w:rPr>
          <w:b w:val="0"/>
          <w:sz w:val="20"/>
        </w:rPr>
        <w:t>The Investor hereby represents and warrants to the Issuer as follows:</w:t>
      </w:r>
    </w:p>
    <w:p>
      <w:r>
        <w:rPr>
          <w:b w:val="0"/>
          <w:sz w:val="20"/>
        </w:rPr>
        <w:t>6.1 Investment Purpose. The Investor is acquiring this Note for investment for its own account and not with a view to, or for resale in connection with, any distribution thereof in violation of applicable securities laws.</w:t>
      </w:r>
    </w:p>
    <w:p>
      <w:r>
        <w:rPr>
          <w:b w:val="0"/>
          <w:sz w:val="20"/>
        </w:rPr>
        <w:t>6.2 Accredited Investor. The Investor is an accredited investor as that term is defined under applicable federal securities laws.</w:t>
      </w:r>
    </w:p>
    <w:p>
      <w:r>
        <w:rPr>
          <w:b w:val="0"/>
          <w:sz w:val="20"/>
        </w:rPr>
        <w:t>6.3 Authority. The Investor has full power and authority to enter into this Agreement and perform all obligations hereunder.</w:t>
      </w:r>
    </w:p>
    <w:p/>
    <w:p>
      <w:r>
        <w:rPr>
          <w:b/>
          <w:sz w:val="22"/>
        </w:rPr>
        <w:t>7. Covenants of the Issuer</w:t>
      </w:r>
    </w:p>
    <w:p>
      <w:r>
        <w:rPr>
          <w:b w:val="0"/>
          <w:sz w:val="20"/>
        </w:rPr>
        <w:t>7.1 Use of Proceeds. The Issuer shall use the proceeds from this Note solely for general corporate purposes consistent with its business plan.</w:t>
      </w:r>
    </w:p>
    <w:p>
      <w:r>
        <w:rPr>
          <w:b w:val="0"/>
          <w:sz w:val="20"/>
        </w:rPr>
        <w:t>7.2 Reporting. Upon reasonable request of the Investor, the Issuer shall provide financial and other information concerning its business and affairs.</w:t>
      </w:r>
    </w:p>
    <w:p/>
    <w:p>
      <w:r>
        <w:rPr>
          <w:b/>
          <w:sz w:val="22"/>
        </w:rPr>
        <w:t>8. Events of Default</w:t>
      </w:r>
    </w:p>
    <w:p>
      <w:r>
        <w:rPr>
          <w:b w:val="0"/>
          <w:sz w:val="20"/>
        </w:rPr>
        <w:t>The occurrence of any of the following events shall constitute an Event of Default:</w:t>
      </w:r>
    </w:p>
    <w:p>
      <w:r>
        <w:rPr>
          <w:b w:val="0"/>
          <w:sz w:val="20"/>
        </w:rPr>
        <w:t>8.1 Failure to Pay. The Issuer fails to pay principal or interest when due and such failure continues for ten (10) business days.</w:t>
      </w:r>
    </w:p>
    <w:p>
      <w:r>
        <w:rPr>
          <w:b w:val="0"/>
          <w:sz w:val="20"/>
        </w:rPr>
        <w:t>8.2 Insolvency. The Issuer becomes insolvent, makes an assignment for the benefit of creditors, or a receiver is appointed for its business or assets.</w:t>
      </w:r>
    </w:p>
    <w:p>
      <w:r>
        <w:rPr>
          <w:b w:val="0"/>
          <w:sz w:val="20"/>
        </w:rPr>
        <w:t>8.3 Breach. The Issuer breaches any material representation, warranty, or covenant contained in this Agreement and fails to cure such breach within thirty (30) days after notice.</w:t>
      </w:r>
    </w:p>
    <w:p/>
    <w:p>
      <w:r>
        <w:rPr>
          <w:b/>
          <w:sz w:val="22"/>
        </w:rPr>
        <w:t>9. Remedies</w:t>
      </w:r>
    </w:p>
    <w:p>
      <w:r>
        <w:rPr>
          <w:b w:val="0"/>
          <w:sz w:val="20"/>
        </w:rPr>
        <w:t>Upon the occurrence of an Event of Default, the Investor may declare the entire outstanding Principal Amount and accrued interest immediately due and payable and exercise any and all rights and remedies available at law or equity.</w:t>
      </w:r>
    </w:p>
    <w:p/>
    <w:p>
      <w:r>
        <w:rPr>
          <w:b/>
          <w:sz w:val="22"/>
        </w:rPr>
        <w:t>10. Miscellaneous</w:t>
      </w:r>
    </w:p>
    <w:p>
      <w:r>
        <w:rPr>
          <w:b w:val="0"/>
          <w:sz w:val="20"/>
        </w:rPr>
        <w:t>10.1 Governing Law. This Agreement shall be governed by and construed in accordance with the laws of the State of __________________, without regard to conflict of law principles.</w:t>
      </w:r>
    </w:p>
    <w:p>
      <w:r>
        <w:rPr>
          <w:b w:val="0"/>
          <w:sz w:val="20"/>
        </w:rPr>
        <w:t>10.2 Amendment and Waiver. Any amendment or waiver of provisions of this Agreement must be in writing and signed by the Issuer and the Investor.</w:t>
      </w:r>
    </w:p>
    <w:p>
      <w:r>
        <w:rPr>
          <w:b w:val="0"/>
          <w:sz w:val="20"/>
        </w:rPr>
        <w:t>10.3 Notices. All notices under this Agreement shall be in writing and delivered personally, by certified mail (return receipt requested), or by recognized overnight courier to the addresses set forth above or such other address as either party may designate.</w:t>
      </w:r>
    </w:p>
    <w:p>
      <w:r>
        <w:rPr>
          <w:b w:val="0"/>
          <w:sz w:val="20"/>
        </w:rPr>
        <w:t>10.4 Entire Agreement. This Agreement constitutes the entire agreement between the parties concerning the subject matter hereof and supersedes all prior agreements and understandings.</w:t>
      </w:r>
    </w:p>
    <w:p>
      <w:r>
        <w:rPr>
          <w:b w:val="0"/>
          <w:sz w:val="20"/>
        </w:rPr>
        <w:t>10.5 Severability. If any provision of this Agreement is held invalid or unenforceable, the remaining provisions shall remain in full force and effect.</w:t>
      </w:r>
    </w:p>
    <w:p>
      <w:r>
        <w:rPr>
          <w:b w:val="0"/>
          <w:sz w:val="20"/>
        </w:rPr>
        <w:t>10.6 Assignment. Neither party may assign its rights or obligations under this Agreement without the prior written consent of the other party.</w:t>
      </w:r>
    </w:p>
    <w:p/>
    <w:p>
      <w:r>
        <w:rPr>
          <w:b/>
          <w:sz w:val="22"/>
        </w:rPr>
        <w:t>11. 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ISSUER</w:t>
            </w:r>
          </w:p>
        </w:tc>
        <w:tc>
          <w:tcPr>
            <w:tcW w:type="dxa" w:w="4986"/>
            <w:tcBorders>
              <w:top w:val="nil"/>
              <w:left w:val="nil"/>
              <w:bottom w:val="nil"/>
              <w:right w:val="nil"/>
              <w:insideH w:val="nil"/>
              <w:insideV w:val="nil"/>
            </w:tcBorders>
          </w:tcPr>
          <w:p>
            <w:pPr>
              <w:jc w:val="center"/>
            </w:pPr>
            <w:r>
              <w:t>INVESTOR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https://agreementtemplate-us.com/convertible-note-agreement/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nvertible-not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